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B3" w:rsidRDefault="009245BC">
      <w:pPr>
        <w:jc w:val="center"/>
      </w:pPr>
      <w:bookmarkStart w:id="0" w:name="_GoBack"/>
      <w:bookmarkEnd w:id="0"/>
      <w:r>
        <w:rPr>
          <w:b/>
          <w:bCs/>
          <w:color w:val="008000"/>
          <w:sz w:val="28"/>
          <w:szCs w:val="28"/>
        </w:rPr>
        <w:t xml:space="preserve">Wissenschaftliches Wochenende  </w:t>
      </w:r>
    </w:p>
    <w:p w:rsidR="00B11AB3" w:rsidRDefault="009245BC">
      <w:pPr>
        <w:spacing w:before="280" w:after="280"/>
        <w:jc w:val="center"/>
      </w:pPr>
      <w:r>
        <w:rPr>
          <w:b/>
          <w:bCs/>
          <w:color w:val="008000"/>
          <w:sz w:val="28"/>
          <w:szCs w:val="28"/>
        </w:rPr>
        <w:t xml:space="preserve">zur Einführung in die Pränatale Psychologie </w:t>
      </w:r>
    </w:p>
    <w:p w:rsidR="00B11AB3" w:rsidRDefault="009245BC">
      <w:pPr>
        <w:spacing w:before="280" w:after="280"/>
        <w:jc w:val="center"/>
      </w:pPr>
      <w:r>
        <w:rPr>
          <w:b/>
          <w:bCs/>
          <w:color w:val="000000"/>
          <w:sz w:val="27"/>
          <w:szCs w:val="27"/>
        </w:rPr>
        <w:t>mit Ludwig Janus</w:t>
      </w:r>
    </w:p>
    <w:tbl>
      <w:tblPr>
        <w:tblW w:w="4500" w:type="pct"/>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top w:w="450" w:type="dxa"/>
          <w:left w:w="420" w:type="dxa"/>
          <w:bottom w:w="450" w:type="dxa"/>
          <w:right w:w="450" w:type="dxa"/>
        </w:tblCellMar>
        <w:tblLook w:val="0000" w:firstRow="0" w:lastRow="0" w:firstColumn="0" w:lastColumn="0" w:noHBand="0" w:noVBand="0"/>
      </w:tblPr>
      <w:tblGrid>
        <w:gridCol w:w="8946"/>
      </w:tblGrid>
      <w:tr w:rsidR="00B11AB3">
        <w:trPr>
          <w:jc w:val="center"/>
        </w:trPr>
        <w:tc>
          <w:tcPr>
            <w:tcW w:w="81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4C8F0"/>
            <w:vAlign w:val="center"/>
          </w:tcPr>
          <w:p w:rsidR="00B11AB3" w:rsidRDefault="009245BC">
            <w:pPr>
              <w:jc w:val="both"/>
            </w:pPr>
            <w:r>
              <w:rPr>
                <w:color w:val="000000"/>
              </w:rPr>
              <w:t>Der biographische Raum der vorgeburtlichen Lebenszeit und der Geburt hat in den letzten Jahren in seiner Bedeutung für die Psychotherapie zunehmend Beachtung gefunden. Prägende Erfahrungen für das spätere Lebensgefühl und Selbstgefühl werden in der vorgebu</w:t>
            </w:r>
            <w:r>
              <w:rPr>
                <w:color w:val="000000"/>
              </w:rPr>
              <w:t>rtlichen Zeit gemacht, und die Geburtserfahrung prägt unseren späteren Umgang mit Veränderungen und unsere eigenen Individuationsmöglichkeiten. Die empirische Forschungslage ist ganz eindeutig: vorgeburtlicher Stress beeinflusst das spätere Verhalten im Si</w:t>
            </w:r>
            <w:r>
              <w:rPr>
                <w:color w:val="000000"/>
              </w:rPr>
              <w:t>nne einer größeren Stressempfind-</w:t>
            </w:r>
            <w:proofErr w:type="spellStart"/>
            <w:r>
              <w:rPr>
                <w:color w:val="000000"/>
              </w:rPr>
              <w:t>lichkeit</w:t>
            </w:r>
            <w:proofErr w:type="spellEnd"/>
            <w:r>
              <w:rPr>
                <w:color w:val="000000"/>
              </w:rPr>
              <w:t xml:space="preserve"> und die vorgeburtliche Atmosphäre prägt die synaptischen Verbindungen des sich entwickelnden Gehirns und damit Dispositionen zu bestimmten Verhaltensweisen und Gefühlseinstellungen. Dem entsprechen Beobachtungen au</w:t>
            </w:r>
            <w:r>
              <w:rPr>
                <w:color w:val="000000"/>
              </w:rPr>
              <w:t>s verschiedenen psychotherapeutischen Settings. Gleichzeitig liegen in der vorgeburtlichen Zeit die vitalen Urerfahrungen eigener Lebendigkeit und Kraft, die durch traumatische Belastungen unzugänglich werden können und an die es in glückender Therapie wie</w:t>
            </w:r>
            <w:r>
              <w:rPr>
                <w:color w:val="000000"/>
              </w:rPr>
              <w:t>der anzuschließen gilt. Die Zeit scheint reif für eine Zusammenschau der jahrzehntelangen Forschungs- und Klärungsarbeit, wie sie insbesondere im Rahmen der Internationalen Studiengemeinschaft für Pränatale und Perinatale Psychologie und Medizin (ISPPM) ge</w:t>
            </w:r>
            <w:r>
              <w:rPr>
                <w:color w:val="000000"/>
              </w:rPr>
              <w:t xml:space="preserve">leistet wurde. Die Zeit scheint ebenso reif, die praktischen Konsequenzen darzustellen, zu diskutieren und umzusetzen. Beides soll in dem Wochenendseminar in einer Mischung von Seminarteil und Selbsterfahrungsteil geschehen. Wichtige Inhalte sind: </w:t>
            </w:r>
          </w:p>
        </w:tc>
      </w:tr>
    </w:tbl>
    <w:p w:rsidR="00B11AB3" w:rsidRDefault="009245BC">
      <w:pPr>
        <w:spacing w:before="280"/>
        <w:jc w:val="center"/>
        <w:rPr>
          <w:color w:val="000000"/>
        </w:rPr>
      </w:pPr>
      <w:r>
        <w:rPr>
          <w:noProof/>
          <w:lang w:val="fr-FR" w:eastAsia="fr-FR"/>
        </w:rPr>
        <w:drawing>
          <wp:inline distT="0" distB="0" distL="0" distR="0">
            <wp:extent cx="7620635" cy="2921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7620635" cy="29210"/>
                    </a:xfrm>
                    <a:prstGeom prst="rect">
                      <a:avLst/>
                    </a:prstGeom>
                  </pic:spPr>
                </pic:pic>
              </a:graphicData>
            </a:graphic>
          </wp:inline>
        </w:drawing>
      </w:r>
    </w:p>
    <w:p w:rsidR="00B11AB3" w:rsidRDefault="009245BC">
      <w:pPr>
        <w:numPr>
          <w:ilvl w:val="0"/>
          <w:numId w:val="1"/>
        </w:numPr>
      </w:pPr>
      <w:r>
        <w:rPr>
          <w:color w:val="000000"/>
        </w:rPr>
        <w:t>Gesc</w:t>
      </w:r>
      <w:r>
        <w:rPr>
          <w:color w:val="000000"/>
        </w:rPr>
        <w:t xml:space="preserve">hichtlicher Überblick zur Entdeckung des vorgeburtlichen und geburtlichen Unbewussten </w:t>
      </w:r>
    </w:p>
    <w:p w:rsidR="00B11AB3" w:rsidRDefault="009245BC">
      <w:pPr>
        <w:numPr>
          <w:ilvl w:val="0"/>
          <w:numId w:val="1"/>
        </w:numPr>
      </w:pPr>
      <w:r>
        <w:rPr>
          <w:color w:val="000000"/>
        </w:rPr>
        <w:t xml:space="preserve">Kulturelle Verarbeitung vorgeburtlichen und geburtlichen Erlebens </w:t>
      </w:r>
    </w:p>
    <w:p w:rsidR="00B11AB3" w:rsidRDefault="009245BC">
      <w:pPr>
        <w:numPr>
          <w:ilvl w:val="0"/>
          <w:numId w:val="1"/>
        </w:numPr>
      </w:pPr>
      <w:r>
        <w:rPr>
          <w:color w:val="000000"/>
        </w:rPr>
        <w:t xml:space="preserve">Übersicht über typische vorgeburtliche und geburtliche Erlebnisinhalte </w:t>
      </w:r>
    </w:p>
    <w:p w:rsidR="00B11AB3" w:rsidRDefault="009245BC">
      <w:pPr>
        <w:numPr>
          <w:ilvl w:val="0"/>
          <w:numId w:val="1"/>
        </w:numPr>
        <w:spacing w:after="280"/>
      </w:pPr>
      <w:r>
        <w:rPr>
          <w:color w:val="000000"/>
        </w:rPr>
        <w:t>Anwendungen in der therapeutis</w:t>
      </w:r>
      <w:r>
        <w:rPr>
          <w:color w:val="000000"/>
        </w:rPr>
        <w:t xml:space="preserve">chen Praxis </w:t>
      </w:r>
    </w:p>
    <w:p w:rsidR="00B11AB3" w:rsidRDefault="009245BC">
      <w:pPr>
        <w:spacing w:before="280" w:after="280"/>
      </w:pPr>
      <w:r>
        <w:rPr>
          <w:b/>
          <w:bCs/>
          <w:color w:val="000000"/>
          <w:sz w:val="27"/>
          <w:szCs w:val="27"/>
        </w:rPr>
        <w:t>Zeit:</w:t>
      </w:r>
      <w:r>
        <w:rPr>
          <w:color w:val="000000"/>
        </w:rPr>
        <w:t xml:space="preserve">  Samstag, 7. Nov. 10 bis 13.15 u. 14.15 bis 19.15 Uhr</w:t>
      </w:r>
    </w:p>
    <w:p w:rsidR="00B11AB3" w:rsidRDefault="009245BC">
      <w:pPr>
        <w:spacing w:before="280" w:after="280"/>
      </w:pPr>
      <w:r>
        <w:rPr>
          <w:color w:val="000000"/>
        </w:rPr>
        <w:t xml:space="preserve">           Sonntag, 8. Nov. 9 bis 13 Uhr  (15 UE)</w:t>
      </w:r>
    </w:p>
    <w:p w:rsidR="00B11AB3" w:rsidRDefault="009245BC">
      <w:pPr>
        <w:spacing w:before="280" w:after="280"/>
      </w:pPr>
      <w:r>
        <w:rPr>
          <w:b/>
          <w:bCs/>
          <w:color w:val="000000"/>
        </w:rPr>
        <w:t xml:space="preserve">Ort:    </w:t>
      </w:r>
      <w:r>
        <w:rPr>
          <w:color w:val="000000"/>
        </w:rPr>
        <w:t>Richard-Wagner-Str. 6, 69121 Heidelberg</w:t>
      </w:r>
      <w:bookmarkStart w:id="1" w:name="_Hlk51587887"/>
      <w:bookmarkEnd w:id="1"/>
    </w:p>
    <w:p w:rsidR="00B11AB3" w:rsidRDefault="00B11AB3">
      <w:pPr>
        <w:rPr>
          <w:sz w:val="22"/>
          <w:szCs w:val="22"/>
        </w:rPr>
      </w:pPr>
    </w:p>
    <w:p w:rsidR="00B11AB3" w:rsidRDefault="00B11AB3">
      <w:pPr>
        <w:rPr>
          <w:sz w:val="22"/>
          <w:szCs w:val="22"/>
        </w:rPr>
      </w:pPr>
    </w:p>
    <w:p w:rsidR="00B11AB3" w:rsidRDefault="009245BC">
      <w:pPr>
        <w:rPr>
          <w:sz w:val="22"/>
          <w:szCs w:val="22"/>
        </w:rPr>
      </w:pPr>
      <w:r>
        <w:rPr>
          <w:sz w:val="22"/>
          <w:szCs w:val="22"/>
        </w:rPr>
        <w:t>Für Ausbildungskandidat/innen des TIB ist die Teilnahme kostenlos.</w:t>
      </w:r>
    </w:p>
    <w:p w:rsidR="00B11AB3" w:rsidRDefault="009245BC">
      <w:pPr>
        <w:rPr>
          <w:sz w:val="22"/>
          <w:szCs w:val="22"/>
        </w:rPr>
      </w:pPr>
      <w:r>
        <w:rPr>
          <w:sz w:val="22"/>
          <w:szCs w:val="22"/>
        </w:rPr>
        <w:t xml:space="preserve">Für Gäste </w:t>
      </w:r>
      <w:r>
        <w:rPr>
          <w:sz w:val="22"/>
          <w:szCs w:val="22"/>
        </w:rPr>
        <w:t>beträgt die Teilnahmegebühr € 150,00 (für Mitglieder des TIB € 100,00)</w:t>
      </w:r>
    </w:p>
    <w:p w:rsidR="00B11AB3" w:rsidRDefault="00B11AB3">
      <w:pPr>
        <w:rPr>
          <w:sz w:val="22"/>
          <w:szCs w:val="22"/>
        </w:rPr>
      </w:pPr>
    </w:p>
    <w:p w:rsidR="00B11AB3" w:rsidRDefault="009245BC">
      <w:pPr>
        <w:rPr>
          <w:sz w:val="22"/>
          <w:szCs w:val="22"/>
        </w:rPr>
      </w:pPr>
      <w:r>
        <w:rPr>
          <w:sz w:val="22"/>
          <w:szCs w:val="22"/>
        </w:rPr>
        <w:lastRenderedPageBreak/>
        <w:t xml:space="preserve">Unsere </w:t>
      </w:r>
      <w:proofErr w:type="spellStart"/>
      <w:r>
        <w:rPr>
          <w:sz w:val="22"/>
          <w:szCs w:val="22"/>
        </w:rPr>
        <w:t>Ausbildungskanditdat</w:t>
      </w:r>
      <w:proofErr w:type="spellEnd"/>
      <w:r>
        <w:rPr>
          <w:sz w:val="22"/>
          <w:szCs w:val="22"/>
        </w:rPr>
        <w:t>/innen erhalten bis 18.10.2010 bevorzugte Plätze.</w:t>
      </w:r>
    </w:p>
    <w:p w:rsidR="00B11AB3" w:rsidRDefault="009245BC">
      <w:pPr>
        <w:rPr>
          <w:sz w:val="22"/>
          <w:szCs w:val="22"/>
        </w:rPr>
      </w:pPr>
      <w:r>
        <w:rPr>
          <w:sz w:val="22"/>
          <w:szCs w:val="22"/>
        </w:rPr>
        <w:t>Die Teilnehmerzahl ist begrenzt.</w:t>
      </w:r>
    </w:p>
    <w:p w:rsidR="00B11AB3" w:rsidRDefault="00B11AB3">
      <w:pPr>
        <w:rPr>
          <w:sz w:val="22"/>
          <w:szCs w:val="22"/>
        </w:rPr>
      </w:pPr>
    </w:p>
    <w:p w:rsidR="00B11AB3" w:rsidRDefault="009245BC">
      <w:pPr>
        <w:rPr>
          <w:sz w:val="22"/>
          <w:szCs w:val="22"/>
        </w:rPr>
      </w:pPr>
      <w:r>
        <w:rPr>
          <w:sz w:val="22"/>
          <w:szCs w:val="22"/>
        </w:rPr>
        <w:t>Anmeldungen bis zum 31.10. telefonisch oder per Mail an die Geschäftsstel</w:t>
      </w:r>
      <w:r>
        <w:rPr>
          <w:sz w:val="22"/>
          <w:szCs w:val="22"/>
        </w:rPr>
        <w:t>le des TIB</w:t>
      </w:r>
    </w:p>
    <w:p w:rsidR="00B11AB3" w:rsidRDefault="009245BC">
      <w:pPr>
        <w:rPr>
          <w:sz w:val="22"/>
          <w:szCs w:val="22"/>
        </w:rPr>
      </w:pPr>
      <w:r>
        <w:rPr>
          <w:sz w:val="22"/>
          <w:szCs w:val="22"/>
        </w:rPr>
        <w:t>Ansprechpartner: Caroline Ludwig</w:t>
      </w:r>
    </w:p>
    <w:p w:rsidR="00B11AB3" w:rsidRDefault="009245BC">
      <w:pPr>
        <w:rPr>
          <w:sz w:val="22"/>
          <w:szCs w:val="22"/>
        </w:rPr>
      </w:pPr>
      <w:r>
        <w:rPr>
          <w:sz w:val="22"/>
          <w:szCs w:val="22"/>
        </w:rPr>
        <w:t xml:space="preserve">Tel: 0711-93 53 0542 oder per </w:t>
      </w:r>
      <w:proofErr w:type="spellStart"/>
      <w:r>
        <w:rPr>
          <w:sz w:val="22"/>
          <w:szCs w:val="22"/>
        </w:rPr>
        <w:t>Mail:info@ti-b.de</w:t>
      </w:r>
      <w:proofErr w:type="spellEnd"/>
      <w:r>
        <w:rPr>
          <w:sz w:val="22"/>
          <w:szCs w:val="22"/>
        </w:rPr>
        <w:t xml:space="preserve"> </w:t>
      </w:r>
    </w:p>
    <w:p w:rsidR="00B11AB3" w:rsidRDefault="00B11AB3">
      <w:pPr>
        <w:rPr>
          <w:sz w:val="22"/>
          <w:szCs w:val="22"/>
        </w:rPr>
      </w:pPr>
    </w:p>
    <w:p w:rsidR="00B11AB3" w:rsidRDefault="009245BC">
      <w:pPr>
        <w:rPr>
          <w:sz w:val="22"/>
          <w:szCs w:val="22"/>
        </w:rPr>
      </w:pPr>
      <w:r>
        <w:rPr>
          <w:sz w:val="22"/>
          <w:szCs w:val="22"/>
        </w:rPr>
        <w:t>Rücktrittsregelung: Für Rücktritte nach dem 31.10.2020 wird eine Ausfallgebühr erhoben.</w:t>
      </w:r>
    </w:p>
    <w:p w:rsidR="00B11AB3" w:rsidRDefault="009245BC">
      <w:pPr>
        <w:rPr>
          <w:sz w:val="22"/>
          <w:szCs w:val="22"/>
        </w:rPr>
      </w:pPr>
      <w:r>
        <w:rPr>
          <w:sz w:val="22"/>
          <w:szCs w:val="22"/>
        </w:rPr>
        <w:t>Teilnehmer/innen des TIB: € 50,00 Gäste und TIB Mitglieder: 50 % der Teiln</w:t>
      </w:r>
      <w:r>
        <w:rPr>
          <w:sz w:val="22"/>
          <w:szCs w:val="22"/>
        </w:rPr>
        <w:t>ahmegebühr (falls keine Ersatzperson teilnimmt).</w:t>
      </w:r>
    </w:p>
    <w:p w:rsidR="00B11AB3" w:rsidRDefault="00B11AB3">
      <w:pPr>
        <w:rPr>
          <w:sz w:val="22"/>
          <w:szCs w:val="22"/>
        </w:rPr>
      </w:pPr>
    </w:p>
    <w:p w:rsidR="00B11AB3" w:rsidRDefault="009245BC">
      <w:pPr>
        <w:rPr>
          <w:sz w:val="22"/>
          <w:szCs w:val="22"/>
        </w:rPr>
      </w:pPr>
      <w:r>
        <w:rPr>
          <w:sz w:val="22"/>
          <w:szCs w:val="22"/>
        </w:rPr>
        <w:t>Sollten sich nicht genügend Teilnehmer/innen anmelden, muss die Veranstaltung ggf. kurzfristig abgesagt werden. Gebühren werden rückerstattet.</w:t>
      </w:r>
    </w:p>
    <w:p w:rsidR="00B11AB3" w:rsidRDefault="009245BC">
      <w:pPr>
        <w:spacing w:before="280" w:after="280"/>
      </w:pPr>
      <w:r>
        <w:rPr>
          <w:b/>
          <w:bCs/>
          <w:color w:val="000000"/>
          <w:sz w:val="20"/>
          <w:szCs w:val="20"/>
        </w:rPr>
        <w:t>Literatur</w:t>
      </w:r>
    </w:p>
    <w:p w:rsidR="00B11AB3" w:rsidRDefault="009245BC">
      <w:pPr>
        <w:widowControl w:val="0"/>
      </w:pPr>
      <w:r>
        <w:rPr>
          <w:color w:val="1F1F1F"/>
          <w:sz w:val="20"/>
          <w:szCs w:val="20"/>
          <w:u w:val="single"/>
        </w:rPr>
        <w:t>Wie die Seele entsteht.</w:t>
      </w:r>
      <w:r>
        <w:rPr>
          <w:color w:val="1F1F1F"/>
          <w:sz w:val="20"/>
          <w:szCs w:val="20"/>
        </w:rPr>
        <w:t xml:space="preserve"> Mattes, Heidelberg.</w:t>
      </w:r>
    </w:p>
    <w:p w:rsidR="00B11AB3" w:rsidRDefault="009245BC">
      <w:pPr>
        <w:widowControl w:val="0"/>
      </w:pPr>
      <w:r>
        <w:rPr>
          <w:color w:val="1F1F1F"/>
          <w:sz w:val="20"/>
          <w:szCs w:val="20"/>
        </w:rPr>
        <w:t>Die präna</w:t>
      </w:r>
      <w:r>
        <w:rPr>
          <w:color w:val="1F1F1F"/>
          <w:sz w:val="20"/>
          <w:szCs w:val="20"/>
        </w:rPr>
        <w:t>tale Dimension in der Psychotherapie. (</w:t>
      </w:r>
      <w:proofErr w:type="spellStart"/>
      <w:r>
        <w:rPr>
          <w:color w:val="1F1F1F"/>
          <w:sz w:val="20"/>
          <w:szCs w:val="20"/>
        </w:rPr>
        <w:t>Hg</w:t>
      </w:r>
      <w:proofErr w:type="spellEnd"/>
      <w:r>
        <w:rPr>
          <w:color w:val="1F1F1F"/>
          <w:sz w:val="20"/>
          <w:szCs w:val="20"/>
        </w:rPr>
        <w:t>.). Mattes, Heidelberg.</w:t>
      </w:r>
    </w:p>
    <w:p w:rsidR="00B11AB3" w:rsidRDefault="009245BC">
      <w:pPr>
        <w:widowControl w:val="0"/>
      </w:pPr>
      <w:r>
        <w:rPr>
          <w:iCs/>
          <w:color w:val="1F1F1F"/>
          <w:sz w:val="20"/>
          <w:szCs w:val="20"/>
          <w:u w:val="single"/>
        </w:rPr>
        <w:t>Die pränatale Dimension in der psychosomatischen Medizin (</w:t>
      </w:r>
      <w:proofErr w:type="spellStart"/>
      <w:r>
        <w:rPr>
          <w:iCs/>
          <w:color w:val="1F1F1F"/>
          <w:sz w:val="20"/>
          <w:szCs w:val="20"/>
          <w:u w:val="single"/>
        </w:rPr>
        <w:t>Hg</w:t>
      </w:r>
      <w:proofErr w:type="spellEnd"/>
      <w:r>
        <w:rPr>
          <w:iCs/>
          <w:color w:val="1F1F1F"/>
          <w:sz w:val="20"/>
          <w:szCs w:val="20"/>
          <w:u w:val="single"/>
        </w:rPr>
        <w:t>.).</w:t>
      </w:r>
      <w:r>
        <w:rPr>
          <w:iCs/>
          <w:color w:val="1F1F1F"/>
          <w:sz w:val="20"/>
          <w:szCs w:val="20"/>
        </w:rPr>
        <w:t xml:space="preserve"> Psychosozial, Gießen.</w:t>
      </w:r>
    </w:p>
    <w:p w:rsidR="00B11AB3" w:rsidRDefault="009245BC">
      <w:pPr>
        <w:widowControl w:val="0"/>
      </w:pPr>
      <w:r>
        <w:rPr>
          <w:iCs/>
          <w:color w:val="1F1F1F"/>
          <w:sz w:val="20"/>
          <w:szCs w:val="20"/>
          <w:u w:val="single"/>
        </w:rPr>
        <w:t>Geburt.</w:t>
      </w:r>
      <w:r>
        <w:rPr>
          <w:iCs/>
          <w:color w:val="1F1F1F"/>
          <w:sz w:val="20"/>
          <w:szCs w:val="20"/>
        </w:rPr>
        <w:t xml:space="preserve"> Psychosozial, Gießen.</w:t>
      </w:r>
    </w:p>
    <w:p w:rsidR="00B11AB3" w:rsidRDefault="009245BC">
      <w:pPr>
        <w:tabs>
          <w:tab w:val="left" w:pos="1843"/>
        </w:tabs>
        <w:jc w:val="both"/>
      </w:pPr>
      <w:r>
        <w:rPr>
          <w:sz w:val="20"/>
          <w:szCs w:val="20"/>
          <w:u w:val="single"/>
          <w:lang w:val="de-AT"/>
        </w:rPr>
        <w:t>Die prä- und perinatale Zeit des Lebens</w:t>
      </w:r>
      <w:r>
        <w:rPr>
          <w:sz w:val="20"/>
          <w:szCs w:val="20"/>
          <w:lang w:val="de-AT"/>
        </w:rPr>
        <w:t xml:space="preserve"> (-9 Monate bis 0 Monate/Geburt). In:  </w:t>
      </w:r>
      <w:proofErr w:type="spellStart"/>
      <w:r>
        <w:rPr>
          <w:sz w:val="20"/>
          <w:szCs w:val="20"/>
          <w:lang w:val="de-AT"/>
        </w:rPr>
        <w:t>Poscheschnik</w:t>
      </w:r>
      <w:proofErr w:type="spellEnd"/>
      <w:r>
        <w:rPr>
          <w:sz w:val="20"/>
          <w:szCs w:val="20"/>
          <w:lang w:val="de-AT"/>
        </w:rPr>
        <w:t xml:space="preserve"> G, </w:t>
      </w:r>
      <w:proofErr w:type="spellStart"/>
      <w:r>
        <w:rPr>
          <w:sz w:val="20"/>
          <w:szCs w:val="20"/>
          <w:lang w:val="de-AT"/>
        </w:rPr>
        <w:t>Traxi</w:t>
      </w:r>
      <w:proofErr w:type="spellEnd"/>
      <w:r>
        <w:rPr>
          <w:sz w:val="20"/>
          <w:szCs w:val="20"/>
          <w:lang w:val="de-AT"/>
        </w:rPr>
        <w:t>, B (</w:t>
      </w:r>
      <w:proofErr w:type="spellStart"/>
      <w:r>
        <w:rPr>
          <w:sz w:val="20"/>
          <w:szCs w:val="20"/>
          <w:lang w:val="de-AT"/>
        </w:rPr>
        <w:t>Hg</w:t>
      </w:r>
      <w:proofErr w:type="spellEnd"/>
      <w:r>
        <w:rPr>
          <w:sz w:val="20"/>
          <w:szCs w:val="20"/>
          <w:lang w:val="de-AT"/>
        </w:rPr>
        <w:t>.) Handbuch der psychoanalytischen Entwicklungswissenschaft. Psychosozial, Gießen.</w:t>
      </w:r>
    </w:p>
    <w:p w:rsidR="00B11AB3" w:rsidRDefault="009245BC">
      <w:pPr>
        <w:tabs>
          <w:tab w:val="left" w:pos="1843"/>
        </w:tabs>
        <w:jc w:val="both"/>
      </w:pPr>
      <w:r>
        <w:rPr>
          <w:sz w:val="20"/>
          <w:szCs w:val="20"/>
          <w:u w:val="single"/>
          <w:lang w:val="de-AT"/>
        </w:rPr>
        <w:t xml:space="preserve">Homo </w:t>
      </w:r>
      <w:proofErr w:type="spellStart"/>
      <w:r>
        <w:rPr>
          <w:sz w:val="20"/>
          <w:szCs w:val="20"/>
          <w:u w:val="single"/>
          <w:lang w:val="de-AT"/>
        </w:rPr>
        <w:t>fötalis</w:t>
      </w:r>
      <w:proofErr w:type="spellEnd"/>
      <w:r>
        <w:rPr>
          <w:sz w:val="20"/>
          <w:szCs w:val="20"/>
          <w:u w:val="single"/>
          <w:lang w:val="de-AT"/>
        </w:rPr>
        <w:t xml:space="preserve"> et sapiens.</w:t>
      </w:r>
      <w:r>
        <w:rPr>
          <w:sz w:val="20"/>
          <w:szCs w:val="20"/>
          <w:lang w:val="de-AT"/>
        </w:rPr>
        <w:t xml:space="preserve"> Mattes, Heidelberg.</w:t>
      </w:r>
    </w:p>
    <w:p w:rsidR="00B11AB3" w:rsidRDefault="009245BC">
      <w:pPr>
        <w:tabs>
          <w:tab w:val="left" w:pos="1843"/>
        </w:tabs>
        <w:jc w:val="both"/>
      </w:pPr>
      <w:r>
        <w:rPr>
          <w:sz w:val="20"/>
          <w:szCs w:val="20"/>
          <w:u w:val="single"/>
          <w:lang w:val="de-AT"/>
        </w:rPr>
        <w:t>Vom Kosmos zur Erde</w:t>
      </w:r>
      <w:r>
        <w:rPr>
          <w:sz w:val="20"/>
          <w:szCs w:val="20"/>
          <w:lang w:val="de-AT"/>
        </w:rPr>
        <w:t>, von der Mythologie zur Psychologie. Gesc</w:t>
      </w:r>
      <w:r>
        <w:rPr>
          <w:sz w:val="20"/>
          <w:szCs w:val="20"/>
          <w:lang w:val="de-AT"/>
        </w:rPr>
        <w:t xml:space="preserve">hichte der Philosophie als Widerspiegelung der Evolution </w:t>
      </w:r>
      <w:proofErr w:type="gramStart"/>
      <w:r>
        <w:rPr>
          <w:sz w:val="20"/>
          <w:szCs w:val="20"/>
          <w:lang w:val="de-AT"/>
        </w:rPr>
        <w:t>des</w:t>
      </w:r>
      <w:proofErr w:type="gramEnd"/>
      <w:r>
        <w:rPr>
          <w:sz w:val="20"/>
          <w:szCs w:val="20"/>
          <w:lang w:val="de-AT"/>
        </w:rPr>
        <w:t xml:space="preserve"> Mentalitäten. Mattes, Heidelberg.</w:t>
      </w:r>
    </w:p>
    <w:p w:rsidR="00B11AB3" w:rsidRDefault="009245BC">
      <w:pPr>
        <w:tabs>
          <w:tab w:val="left" w:pos="1843"/>
        </w:tabs>
        <w:jc w:val="both"/>
      </w:pPr>
      <w:r>
        <w:rPr>
          <w:sz w:val="20"/>
          <w:szCs w:val="20"/>
          <w:u w:val="single"/>
          <w:lang w:val="de-AT"/>
        </w:rPr>
        <w:t>Texte zur pränatalen Dimension in der Psychotherapie</w:t>
      </w:r>
      <w:r>
        <w:rPr>
          <w:sz w:val="20"/>
          <w:szCs w:val="20"/>
          <w:lang w:val="de-AT"/>
        </w:rPr>
        <w:t>. Mattes, Heidelberg</w:t>
      </w:r>
    </w:p>
    <w:p w:rsidR="00B11AB3" w:rsidRDefault="00B11AB3">
      <w:pPr>
        <w:widowControl w:val="0"/>
        <w:rPr>
          <w:rFonts w:ascii="Georgia Bold Italic" w:hAnsi="Georgia Bold Italic" w:cs="Georgia Bold Italic"/>
          <w:sz w:val="20"/>
          <w:szCs w:val="20"/>
          <w:lang w:val="de-AT"/>
        </w:rPr>
      </w:pPr>
    </w:p>
    <w:p w:rsidR="00B11AB3" w:rsidRDefault="009245BC">
      <w:pPr>
        <w:widowControl w:val="0"/>
      </w:pPr>
      <w:r>
        <w:rPr>
          <w:color w:val="1F1F1F"/>
          <w:sz w:val="20"/>
          <w:szCs w:val="20"/>
        </w:rPr>
        <w:t xml:space="preserve">Mit Helga </w:t>
      </w:r>
      <w:proofErr w:type="spellStart"/>
      <w:r>
        <w:rPr>
          <w:color w:val="1F1F1F"/>
          <w:sz w:val="20"/>
          <w:szCs w:val="20"/>
        </w:rPr>
        <w:t>Levend</w:t>
      </w:r>
      <w:proofErr w:type="spellEnd"/>
      <w:r>
        <w:rPr>
          <w:color w:val="1F1F1F"/>
          <w:sz w:val="20"/>
          <w:szCs w:val="20"/>
        </w:rPr>
        <w:t xml:space="preserve">: </w:t>
      </w:r>
      <w:r>
        <w:rPr>
          <w:color w:val="1F1F1F"/>
          <w:sz w:val="20"/>
          <w:szCs w:val="20"/>
          <w:u w:val="single"/>
        </w:rPr>
        <w:t>Bindung beginnt vor der Geburt</w:t>
      </w:r>
      <w:r>
        <w:rPr>
          <w:color w:val="1F1F1F"/>
          <w:sz w:val="20"/>
          <w:szCs w:val="20"/>
        </w:rPr>
        <w:t>. Mattes, Heidelberg.</w:t>
      </w:r>
    </w:p>
    <w:p w:rsidR="00B11AB3" w:rsidRDefault="009245BC">
      <w:pPr>
        <w:widowControl w:val="0"/>
      </w:pPr>
      <w:r>
        <w:rPr>
          <w:color w:val="1F1F1F"/>
          <w:sz w:val="20"/>
          <w:szCs w:val="20"/>
        </w:rPr>
        <w:t xml:space="preserve">Mit Klaus </w:t>
      </w:r>
      <w:proofErr w:type="spellStart"/>
      <w:r>
        <w:rPr>
          <w:color w:val="1F1F1F"/>
          <w:sz w:val="20"/>
          <w:szCs w:val="20"/>
        </w:rPr>
        <w:t>Evertz</w:t>
      </w:r>
      <w:proofErr w:type="spellEnd"/>
      <w:r>
        <w:rPr>
          <w:color w:val="1F1F1F"/>
          <w:sz w:val="20"/>
          <w:szCs w:val="20"/>
        </w:rPr>
        <w:t xml:space="preserve">: </w:t>
      </w:r>
      <w:r>
        <w:rPr>
          <w:color w:val="1F1F1F"/>
          <w:sz w:val="20"/>
          <w:szCs w:val="20"/>
          <w:u w:val="single"/>
        </w:rPr>
        <w:t>Kunst als kulturelles Bewusstsein vorgeburtlicher und geburtlicher Erfahrungen.</w:t>
      </w:r>
      <w:r>
        <w:rPr>
          <w:color w:val="1F1F1F"/>
          <w:sz w:val="20"/>
          <w:szCs w:val="20"/>
        </w:rPr>
        <w:t xml:space="preserve"> Mattes, Heidelberg.</w:t>
      </w:r>
    </w:p>
    <w:p w:rsidR="00B11AB3" w:rsidRDefault="009245BC">
      <w:pPr>
        <w:widowControl w:val="0"/>
      </w:pPr>
      <w:r>
        <w:rPr>
          <w:iCs/>
          <w:color w:val="1F1F1F"/>
          <w:sz w:val="20"/>
          <w:szCs w:val="20"/>
        </w:rPr>
        <w:t xml:space="preserve">Mit Klaus </w:t>
      </w:r>
      <w:proofErr w:type="spellStart"/>
      <w:r>
        <w:rPr>
          <w:iCs/>
          <w:color w:val="1F1F1F"/>
          <w:sz w:val="20"/>
          <w:szCs w:val="20"/>
        </w:rPr>
        <w:t>Evertz</w:t>
      </w:r>
      <w:proofErr w:type="spellEnd"/>
      <w:r>
        <w:rPr>
          <w:iCs/>
          <w:color w:val="1F1F1F"/>
          <w:sz w:val="20"/>
          <w:szCs w:val="20"/>
        </w:rPr>
        <w:t xml:space="preserve"> und Rupert Linder (</w:t>
      </w:r>
      <w:proofErr w:type="spellStart"/>
      <w:r>
        <w:rPr>
          <w:iCs/>
          <w:color w:val="1F1F1F"/>
          <w:sz w:val="20"/>
          <w:szCs w:val="20"/>
        </w:rPr>
        <w:t>Hg</w:t>
      </w:r>
      <w:proofErr w:type="spellEnd"/>
      <w:r>
        <w:rPr>
          <w:iCs/>
          <w:color w:val="1F1F1F"/>
          <w:sz w:val="20"/>
          <w:szCs w:val="20"/>
        </w:rPr>
        <w:t xml:space="preserve">.) </w:t>
      </w:r>
      <w:r>
        <w:rPr>
          <w:iCs/>
          <w:color w:val="1F1F1F"/>
          <w:sz w:val="20"/>
          <w:szCs w:val="20"/>
          <w:u w:val="single"/>
        </w:rPr>
        <w:t>Lehrbuch der Pränatalen Psychologie.</w:t>
      </w:r>
      <w:r>
        <w:rPr>
          <w:iCs/>
          <w:color w:val="1F1F1F"/>
          <w:sz w:val="20"/>
          <w:szCs w:val="20"/>
        </w:rPr>
        <w:t xml:space="preserve"> Mattes, Heidelberg.</w:t>
      </w:r>
    </w:p>
    <w:p w:rsidR="00B11AB3" w:rsidRDefault="009245BC">
      <w:pPr>
        <w:widowControl w:val="0"/>
      </w:pPr>
      <w:r>
        <w:rPr>
          <w:iCs/>
          <w:color w:val="1F1F1F"/>
          <w:sz w:val="20"/>
          <w:szCs w:val="20"/>
        </w:rPr>
        <w:t>Inès Brock (</w:t>
      </w:r>
      <w:proofErr w:type="spellStart"/>
      <w:r>
        <w:rPr>
          <w:iCs/>
          <w:color w:val="1F1F1F"/>
          <w:sz w:val="20"/>
          <w:szCs w:val="20"/>
        </w:rPr>
        <w:t>Hg</w:t>
      </w:r>
      <w:proofErr w:type="spellEnd"/>
      <w:r>
        <w:rPr>
          <w:iCs/>
          <w:color w:val="1F1F1F"/>
          <w:sz w:val="20"/>
          <w:szCs w:val="20"/>
        </w:rPr>
        <w:t xml:space="preserve">.) </w:t>
      </w:r>
      <w:r>
        <w:rPr>
          <w:iCs/>
          <w:color w:val="1F1F1F"/>
          <w:sz w:val="20"/>
          <w:szCs w:val="20"/>
          <w:u w:val="single"/>
        </w:rPr>
        <w:t>Wie die Geburtserfahrun</w:t>
      </w:r>
      <w:r>
        <w:rPr>
          <w:iCs/>
          <w:color w:val="1F1F1F"/>
          <w:sz w:val="20"/>
          <w:szCs w:val="20"/>
          <w:u w:val="single"/>
        </w:rPr>
        <w:t>g das Leben prägt</w:t>
      </w:r>
      <w:r>
        <w:rPr>
          <w:iCs/>
          <w:color w:val="1F1F1F"/>
          <w:sz w:val="20"/>
          <w:szCs w:val="20"/>
        </w:rPr>
        <w:t>. Psychosozial, Gießen.</w:t>
      </w:r>
    </w:p>
    <w:p w:rsidR="00B11AB3" w:rsidRDefault="009245BC">
      <w:pPr>
        <w:widowControl w:val="0"/>
      </w:pPr>
      <w:proofErr w:type="spellStart"/>
      <w:r>
        <w:rPr>
          <w:iCs/>
          <w:color w:val="1F1F1F"/>
          <w:sz w:val="20"/>
          <w:szCs w:val="20"/>
        </w:rPr>
        <w:t>Fanz</w:t>
      </w:r>
      <w:proofErr w:type="spellEnd"/>
      <w:r>
        <w:rPr>
          <w:iCs/>
          <w:color w:val="1F1F1F"/>
          <w:sz w:val="20"/>
          <w:szCs w:val="20"/>
        </w:rPr>
        <w:t xml:space="preserve"> </w:t>
      </w:r>
      <w:proofErr w:type="spellStart"/>
      <w:r>
        <w:rPr>
          <w:iCs/>
          <w:color w:val="1F1F1F"/>
          <w:sz w:val="20"/>
          <w:szCs w:val="20"/>
        </w:rPr>
        <w:t>Renggli</w:t>
      </w:r>
      <w:proofErr w:type="spellEnd"/>
      <w:r>
        <w:rPr>
          <w:iCs/>
          <w:color w:val="1F1F1F"/>
          <w:sz w:val="20"/>
          <w:szCs w:val="20"/>
        </w:rPr>
        <w:t xml:space="preserve">: </w:t>
      </w:r>
      <w:r>
        <w:rPr>
          <w:iCs/>
          <w:color w:val="1F1F1F"/>
          <w:sz w:val="20"/>
          <w:szCs w:val="20"/>
          <w:u w:val="single"/>
        </w:rPr>
        <w:t>Früheste Erfahrungen – ein Schlüssel zum Leben.</w:t>
      </w:r>
      <w:r>
        <w:rPr>
          <w:iCs/>
          <w:color w:val="1F1F1F"/>
          <w:sz w:val="20"/>
          <w:szCs w:val="20"/>
        </w:rPr>
        <w:t xml:space="preserve"> Psychosozial, Gießen.</w:t>
      </w:r>
    </w:p>
    <w:p w:rsidR="00B11AB3" w:rsidRDefault="00B11AB3"/>
    <w:sectPr w:rsidR="00B11AB3">
      <w:headerReference w:type="default" r:id="rId9"/>
      <w:headerReference w:type="first" r:id="rId10"/>
      <w:pgSz w:w="11906" w:h="16838"/>
      <w:pgMar w:top="2988" w:right="1418" w:bottom="238" w:left="1418" w:header="709"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BC" w:rsidRDefault="009245BC">
      <w:r>
        <w:separator/>
      </w:r>
    </w:p>
  </w:endnote>
  <w:endnote w:type="continuationSeparator" w:id="0">
    <w:p w:rsidR="009245BC" w:rsidRDefault="0092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NeueLTPro-Lt">
    <w:altName w:val="Times New Roman"/>
    <w:charset w:val="01"/>
    <w:family w:val="roman"/>
    <w:pitch w:val="variable"/>
  </w:font>
  <w:font w:name="Georgia Bold Italic">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BC" w:rsidRDefault="009245BC">
      <w:r>
        <w:separator/>
      </w:r>
    </w:p>
  </w:footnote>
  <w:footnote w:type="continuationSeparator" w:id="0">
    <w:p w:rsidR="009245BC" w:rsidRDefault="0092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B3" w:rsidRDefault="009245BC">
    <w:pPr>
      <w:pStyle w:val="Kopfzeile"/>
    </w:pPr>
    <w:r>
      <w:rPr>
        <w:noProof/>
        <w:lang w:val="fr-FR" w:eastAsia="fr-FR"/>
      </w:rPr>
      <mc:AlternateContent>
        <mc:Choice Requires="wps">
          <w:drawing>
            <wp:anchor distT="0" distB="0" distL="114300" distR="114300" simplePos="0" relativeHeight="4" behindDoc="1" locked="0" layoutInCell="1" allowOverlap="1">
              <wp:simplePos x="0" y="0"/>
              <wp:positionH relativeFrom="column">
                <wp:posOffset>2922905</wp:posOffset>
              </wp:positionH>
              <wp:positionV relativeFrom="page">
                <wp:posOffset>1602740</wp:posOffset>
              </wp:positionV>
              <wp:extent cx="3228340" cy="294005"/>
              <wp:effectExtent l="0" t="0" r="0" b="0"/>
              <wp:wrapSquare wrapText="bothSides"/>
              <wp:docPr id="2" name="Rahmen1"/>
              <wp:cNvGraphicFramePr/>
              <a:graphic xmlns:a="http://schemas.openxmlformats.org/drawingml/2006/main">
                <a:graphicData uri="http://schemas.microsoft.com/office/word/2010/wordprocessingShape">
                  <wps:wsp>
                    <wps:cNvSpPr/>
                    <wps:spPr>
                      <a:xfrm>
                        <a:off x="0" y="0"/>
                        <a:ext cx="3227760" cy="293400"/>
                      </a:xfrm>
                      <a:prstGeom prst="rect">
                        <a:avLst/>
                      </a:prstGeom>
                      <a:noFill/>
                      <a:ln>
                        <a:noFill/>
                      </a:ln>
                    </wps:spPr>
                    <wps:style>
                      <a:lnRef idx="0">
                        <a:scrgbClr r="0" g="0" b="0"/>
                      </a:lnRef>
                      <a:fillRef idx="0">
                        <a:scrgbClr r="0" g="0" b="0"/>
                      </a:fillRef>
                      <a:effectRef idx="0">
                        <a:scrgbClr r="0" g="0" b="0"/>
                      </a:effectRef>
                      <a:fontRef idx="minor"/>
                    </wps:style>
                    <wps:txbx>
                      <w:txbxContent>
                        <w:p w:rsidR="00B11AB3" w:rsidRDefault="009245BC">
                          <w:pPr>
                            <w:pStyle w:val="Rahmeninhalt"/>
                            <w:jc w:val="right"/>
                          </w:pPr>
                          <w:r>
                            <w:rPr>
                              <w:color w:val="34387F"/>
                              <w:w w:val="80"/>
                            </w:rPr>
                            <w:t xml:space="preserve">Seite </w:t>
                          </w:r>
                          <w:r>
                            <w:rPr>
                              <w:w w:val="80"/>
                            </w:rPr>
                            <w:fldChar w:fldCharType="begin"/>
                          </w:r>
                          <w:r>
                            <w:rPr>
                              <w:w w:val="80"/>
                            </w:rPr>
                            <w:instrText>PAGE</w:instrText>
                          </w:r>
                          <w:r>
                            <w:rPr>
                              <w:w w:val="80"/>
                            </w:rPr>
                            <w:fldChar w:fldCharType="separate"/>
                          </w:r>
                          <w:r w:rsidR="00061354">
                            <w:rPr>
                              <w:noProof/>
                              <w:w w:val="80"/>
                            </w:rPr>
                            <w:t>2</w:t>
                          </w:r>
                          <w:r>
                            <w:rPr>
                              <w:w w:val="80"/>
                            </w:rPr>
                            <w:fldChar w:fldCharType="end"/>
                          </w:r>
                          <w:r>
                            <w:rPr>
                              <w:color w:val="34387F"/>
                              <w:w w:val="80"/>
                            </w:rPr>
                            <w:t xml:space="preserve"> von </w:t>
                          </w:r>
                          <w:r>
                            <w:rPr>
                              <w:w w:val="80"/>
                            </w:rPr>
                            <w:fldChar w:fldCharType="begin"/>
                          </w:r>
                          <w:r>
                            <w:rPr>
                              <w:w w:val="80"/>
                            </w:rPr>
                            <w:instrText>NUMPAGES</w:instrText>
                          </w:r>
                          <w:r>
                            <w:rPr>
                              <w:w w:val="80"/>
                            </w:rPr>
                            <w:fldChar w:fldCharType="separate"/>
                          </w:r>
                          <w:r w:rsidR="00061354">
                            <w:rPr>
                              <w:noProof/>
                              <w:w w:val="80"/>
                            </w:rPr>
                            <w:t>2</w:t>
                          </w:r>
                          <w:r>
                            <w:rPr>
                              <w:w w:val="80"/>
                            </w:rPr>
                            <w:fldChar w:fldCharType="end"/>
                          </w:r>
                        </w:p>
                      </w:txbxContent>
                    </wps:txbx>
                    <wps:bodyPr lIns="0" tIns="0" rIns="0" bIns="0">
                      <a:noAutofit/>
                    </wps:bodyPr>
                  </wps:wsp>
                </a:graphicData>
              </a:graphic>
            </wp:anchor>
          </w:drawing>
        </mc:Choice>
        <mc:Fallback>
          <w:pict>
            <v:rect id="Rahmen1" o:spid="_x0000_s1026" style="position:absolute;margin-left:230.15pt;margin-top:126.2pt;width:254.2pt;height:23.15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" filled="f" stroked="f">
              <v:textbox inset="0,0,0,0">
                <w:txbxContent>
                  <w:p w:rsidR="00B11AB3" w:rsidRDefault="009245BC">
                    <w:pPr>
                      <w:pStyle w:val="Rahmeninhalt"/>
                      <w:jc w:val="right"/>
                    </w:pPr>
                    <w:r>
                      <w:rPr>
                        <w:color w:val="34387F"/>
                        <w:w w:val="80"/>
                      </w:rPr>
                      <w:t xml:space="preserve">Seite </w:t>
                    </w:r>
                    <w:r>
                      <w:rPr>
                        <w:w w:val="80"/>
                      </w:rPr>
                      <w:fldChar w:fldCharType="begin"/>
                    </w:r>
                    <w:r>
                      <w:rPr>
                        <w:w w:val="80"/>
                      </w:rPr>
                      <w:instrText>PAGE</w:instrText>
                    </w:r>
                    <w:r>
                      <w:rPr>
                        <w:w w:val="80"/>
                      </w:rPr>
                      <w:fldChar w:fldCharType="separate"/>
                    </w:r>
                    <w:r w:rsidR="00061354">
                      <w:rPr>
                        <w:noProof/>
                        <w:w w:val="80"/>
                      </w:rPr>
                      <w:t>2</w:t>
                    </w:r>
                    <w:r>
                      <w:rPr>
                        <w:w w:val="80"/>
                      </w:rPr>
                      <w:fldChar w:fldCharType="end"/>
                    </w:r>
                    <w:r>
                      <w:rPr>
                        <w:color w:val="34387F"/>
                        <w:w w:val="80"/>
                      </w:rPr>
                      <w:t xml:space="preserve"> von </w:t>
                    </w:r>
                    <w:r>
                      <w:rPr>
                        <w:w w:val="80"/>
                      </w:rPr>
                      <w:fldChar w:fldCharType="begin"/>
                    </w:r>
                    <w:r>
                      <w:rPr>
                        <w:w w:val="80"/>
                      </w:rPr>
                      <w:instrText>NUMPAGES</w:instrText>
                    </w:r>
                    <w:r>
                      <w:rPr>
                        <w:w w:val="80"/>
                      </w:rPr>
                      <w:fldChar w:fldCharType="separate"/>
                    </w:r>
                    <w:r w:rsidR="00061354">
                      <w:rPr>
                        <w:noProof/>
                        <w:w w:val="80"/>
                      </w:rPr>
                      <w:t>2</w:t>
                    </w:r>
                    <w:r>
                      <w:rPr>
                        <w:w w:val="80"/>
                      </w:rPr>
                      <w:fldChar w:fldCharType="end"/>
                    </w:r>
                  </w:p>
                </w:txbxContent>
              </v:textbox>
              <w10:wrap type="square" anchory="page"/>
            </v:rect>
          </w:pict>
        </mc:Fallback>
      </mc:AlternateContent>
    </w:r>
    <w:r>
      <w:rPr>
        <w:noProof/>
        <w:lang w:val="fr-FR" w:eastAsia="fr-FR"/>
      </w:rPr>
      <w:drawing>
        <wp:anchor distT="0" distB="0" distL="0" distR="0" simplePos="0" relativeHeight="3" behindDoc="1" locked="0" layoutInCell="1" allowOverlap="1">
          <wp:simplePos x="0" y="0"/>
          <wp:positionH relativeFrom="page">
            <wp:posOffset>635</wp:posOffset>
          </wp:positionH>
          <wp:positionV relativeFrom="page">
            <wp:posOffset>0</wp:posOffset>
          </wp:positionV>
          <wp:extent cx="7560310" cy="1069213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B3" w:rsidRDefault="009245BC">
    <w:pPr>
      <w:pStyle w:val="Kopfzeile"/>
    </w:pPr>
    <w:r>
      <w:rPr>
        <w:noProof/>
        <w:lang w:val="fr-FR" w:eastAsia="fr-FR"/>
      </w:rPr>
      <w:drawing>
        <wp:anchor distT="0" distB="0" distL="0" distR="0" simplePos="0" relativeHeight="2" behindDoc="1" locked="0" layoutInCell="1" allowOverlap="1">
          <wp:simplePos x="0" y="0"/>
          <wp:positionH relativeFrom="page">
            <wp:posOffset>635</wp:posOffset>
          </wp:positionH>
          <wp:positionV relativeFrom="page">
            <wp:posOffset>0</wp:posOffset>
          </wp:positionV>
          <wp:extent cx="7560310" cy="10692130"/>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5D14"/>
    <w:multiLevelType w:val="multilevel"/>
    <w:tmpl w:val="343AF0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C949DB"/>
    <w:multiLevelType w:val="multilevel"/>
    <w:tmpl w:val="23AE2B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B3"/>
    <w:rsid w:val="00061354"/>
    <w:rsid w:val="009245BC"/>
    <w:rsid w:val="00B11AB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4FE"/>
    <w:pPr>
      <w:suppressAutoHyphens/>
    </w:pPr>
    <w:rPr>
      <w:rFonts w:ascii="Times New Roman" w:eastAsia="Times New Roman" w:hAnsi="Times New Roman"/>
      <w:sz w:val="24"/>
      <w:szCs w:val="24"/>
      <w:lang w:eastAsia="zh-CN"/>
    </w:rPr>
  </w:style>
  <w:style w:type="paragraph" w:styleId="berschrift1">
    <w:name w:val="heading 1"/>
    <w:basedOn w:val="Standard"/>
    <w:next w:val="Standard"/>
    <w:qFormat/>
    <w:pPr>
      <w:keepNext/>
      <w:spacing w:before="240" w:after="60"/>
      <w:outlineLvl w:val="0"/>
    </w:pPr>
    <w:rPr>
      <w:rFonts w:cs="Arial"/>
      <w:b/>
      <w:bCs/>
      <w:kern w:val="2"/>
      <w:sz w:val="32"/>
      <w:szCs w:val="32"/>
    </w:rPr>
  </w:style>
  <w:style w:type="paragraph" w:styleId="berschrift2">
    <w:name w:val="heading 2"/>
    <w:basedOn w:val="Standard"/>
    <w:next w:val="Standard"/>
    <w:qFormat/>
    <w:pPr>
      <w:keepNext/>
      <w:ind w:left="1418"/>
      <w:outlineLvl w:val="1"/>
    </w:pPr>
    <w:rPr>
      <w:rFonts w:ascii="Tahoma" w:hAnsi="Tahoma"/>
      <w:b/>
      <w:sz w:val="28"/>
      <w:lang w:eastAsia="de-DE"/>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1">
    <w:name w:val="Zchn Zchn1"/>
    <w:qFormat/>
    <w:rPr>
      <w:sz w:val="24"/>
    </w:rPr>
  </w:style>
  <w:style w:type="character" w:customStyle="1" w:styleId="ZchnZchn">
    <w:name w:val="Zchn Zchn"/>
    <w:qFormat/>
    <w:rPr>
      <w:sz w:val="24"/>
    </w:rPr>
  </w:style>
  <w:style w:type="character" w:customStyle="1" w:styleId="FuzeileZchn">
    <w:name w:val="Fußzeile Zchn"/>
    <w:link w:val="Fuzeile"/>
    <w:uiPriority w:val="99"/>
    <w:qFormat/>
    <w:rsid w:val="00253452"/>
    <w:rPr>
      <w:rFonts w:ascii="Arial" w:hAnsi="Arial"/>
      <w:lang w:eastAsia="en-US"/>
    </w:rPr>
  </w:style>
  <w:style w:type="character" w:customStyle="1" w:styleId="ListLabel1">
    <w:name w:val="ListLabel 1"/>
    <w:qFormat/>
    <w:rPr>
      <w:rFonts w:cs="Symbol"/>
      <w:sz w:val="20"/>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sz w:val="20"/>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semiHidden/>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spacing w:after="120"/>
      <w:jc w:val="both"/>
    </w:pPr>
    <w:rPr>
      <w:lang w:eastAsia="de-DE"/>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Kopfzeile">
    <w:name w:val="header"/>
    <w:basedOn w:val="Standard"/>
    <w:unhideWhenUsed/>
    <w:pPr>
      <w:tabs>
        <w:tab w:val="center" w:pos="4536"/>
        <w:tab w:val="right" w:pos="9072"/>
      </w:tabs>
    </w:pPr>
  </w:style>
  <w:style w:type="paragraph" w:styleId="Fuzeile">
    <w:name w:val="footer"/>
    <w:basedOn w:val="Standard"/>
    <w:link w:val="FuzeileZchn"/>
    <w:uiPriority w:val="99"/>
    <w:unhideWhenUsed/>
    <w:pPr>
      <w:tabs>
        <w:tab w:val="center" w:pos="4536"/>
        <w:tab w:val="right" w:pos="9072"/>
      </w:tabs>
    </w:pPr>
  </w:style>
  <w:style w:type="paragraph" w:customStyle="1" w:styleId="Vorgabetext">
    <w:name w:val="Vorgabetext"/>
    <w:basedOn w:val="Standard"/>
    <w:qFormat/>
    <w:rPr>
      <w:lang w:eastAsia="de-DE"/>
    </w:rPr>
  </w:style>
  <w:style w:type="paragraph" w:customStyle="1" w:styleId="EinfacherAbsatz">
    <w:name w:val="[Einfacher Absatz]"/>
    <w:basedOn w:val="Standard"/>
    <w:autoRedefine/>
    <w:qFormat/>
    <w:pPr>
      <w:widowControl w:val="0"/>
      <w:spacing w:line="288" w:lineRule="auto"/>
      <w:textAlignment w:val="center"/>
    </w:pPr>
    <w:rPr>
      <w:rFonts w:ascii="HelveticaNeueLTPro-Lt" w:hAnsi="HelveticaNeueLTPro-Lt" w:cs="HelveticaNeueLTPro-Lt"/>
      <w:color w:val="000000"/>
      <w:lang w:eastAsia="de-DE"/>
    </w:rPr>
  </w:style>
  <w:style w:type="paragraph" w:customStyle="1" w:styleId="BetreffBold">
    <w:name w:val="Betreff Bold"/>
    <w:basedOn w:val="Standard"/>
    <w:qFormat/>
    <w:rPr>
      <w:b/>
    </w:rPr>
  </w:style>
  <w:style w:type="paragraph" w:styleId="Textkrper-Zeileneinzug">
    <w:name w:val="Body Text Indent"/>
    <w:basedOn w:val="Standard"/>
    <w:semiHidden/>
    <w:pPr>
      <w:widowControl w:val="0"/>
      <w:ind w:left="1418" w:hanging="1276"/>
    </w:pPr>
    <w:rPr>
      <w:rFonts w:cs="Arial"/>
      <w:sz w:val="18"/>
    </w:r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0613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35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4FE"/>
    <w:pPr>
      <w:suppressAutoHyphens/>
    </w:pPr>
    <w:rPr>
      <w:rFonts w:ascii="Times New Roman" w:eastAsia="Times New Roman" w:hAnsi="Times New Roman"/>
      <w:sz w:val="24"/>
      <w:szCs w:val="24"/>
      <w:lang w:eastAsia="zh-CN"/>
    </w:rPr>
  </w:style>
  <w:style w:type="paragraph" w:styleId="berschrift1">
    <w:name w:val="heading 1"/>
    <w:basedOn w:val="Standard"/>
    <w:next w:val="Standard"/>
    <w:qFormat/>
    <w:pPr>
      <w:keepNext/>
      <w:spacing w:before="240" w:after="60"/>
      <w:outlineLvl w:val="0"/>
    </w:pPr>
    <w:rPr>
      <w:rFonts w:cs="Arial"/>
      <w:b/>
      <w:bCs/>
      <w:kern w:val="2"/>
      <w:sz w:val="32"/>
      <w:szCs w:val="32"/>
    </w:rPr>
  </w:style>
  <w:style w:type="paragraph" w:styleId="berschrift2">
    <w:name w:val="heading 2"/>
    <w:basedOn w:val="Standard"/>
    <w:next w:val="Standard"/>
    <w:qFormat/>
    <w:pPr>
      <w:keepNext/>
      <w:ind w:left="1418"/>
      <w:outlineLvl w:val="1"/>
    </w:pPr>
    <w:rPr>
      <w:rFonts w:ascii="Tahoma" w:hAnsi="Tahoma"/>
      <w:b/>
      <w:sz w:val="28"/>
      <w:lang w:eastAsia="de-DE"/>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1">
    <w:name w:val="Zchn Zchn1"/>
    <w:qFormat/>
    <w:rPr>
      <w:sz w:val="24"/>
    </w:rPr>
  </w:style>
  <w:style w:type="character" w:customStyle="1" w:styleId="ZchnZchn">
    <w:name w:val="Zchn Zchn"/>
    <w:qFormat/>
    <w:rPr>
      <w:sz w:val="24"/>
    </w:rPr>
  </w:style>
  <w:style w:type="character" w:customStyle="1" w:styleId="FuzeileZchn">
    <w:name w:val="Fußzeile Zchn"/>
    <w:link w:val="Fuzeile"/>
    <w:uiPriority w:val="99"/>
    <w:qFormat/>
    <w:rsid w:val="00253452"/>
    <w:rPr>
      <w:rFonts w:ascii="Arial" w:hAnsi="Arial"/>
      <w:lang w:eastAsia="en-US"/>
    </w:rPr>
  </w:style>
  <w:style w:type="character" w:customStyle="1" w:styleId="ListLabel1">
    <w:name w:val="ListLabel 1"/>
    <w:qFormat/>
    <w:rPr>
      <w:rFonts w:cs="Symbol"/>
      <w:sz w:val="20"/>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sz w:val="20"/>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semiHidden/>
    <w:pPr>
      <w:tabs>
        <w:tab w:val="left" w:pos="-142"/>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spacing w:after="120"/>
      <w:jc w:val="both"/>
    </w:pPr>
    <w:rPr>
      <w:lang w:eastAsia="de-DE"/>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Kopfzeile">
    <w:name w:val="header"/>
    <w:basedOn w:val="Standard"/>
    <w:unhideWhenUsed/>
    <w:pPr>
      <w:tabs>
        <w:tab w:val="center" w:pos="4536"/>
        <w:tab w:val="right" w:pos="9072"/>
      </w:tabs>
    </w:pPr>
  </w:style>
  <w:style w:type="paragraph" w:styleId="Fuzeile">
    <w:name w:val="footer"/>
    <w:basedOn w:val="Standard"/>
    <w:link w:val="FuzeileZchn"/>
    <w:uiPriority w:val="99"/>
    <w:unhideWhenUsed/>
    <w:pPr>
      <w:tabs>
        <w:tab w:val="center" w:pos="4536"/>
        <w:tab w:val="right" w:pos="9072"/>
      </w:tabs>
    </w:pPr>
  </w:style>
  <w:style w:type="paragraph" w:customStyle="1" w:styleId="Vorgabetext">
    <w:name w:val="Vorgabetext"/>
    <w:basedOn w:val="Standard"/>
    <w:qFormat/>
    <w:rPr>
      <w:lang w:eastAsia="de-DE"/>
    </w:rPr>
  </w:style>
  <w:style w:type="paragraph" w:customStyle="1" w:styleId="EinfacherAbsatz">
    <w:name w:val="[Einfacher Absatz]"/>
    <w:basedOn w:val="Standard"/>
    <w:autoRedefine/>
    <w:qFormat/>
    <w:pPr>
      <w:widowControl w:val="0"/>
      <w:spacing w:line="288" w:lineRule="auto"/>
      <w:textAlignment w:val="center"/>
    </w:pPr>
    <w:rPr>
      <w:rFonts w:ascii="HelveticaNeueLTPro-Lt" w:hAnsi="HelveticaNeueLTPro-Lt" w:cs="HelveticaNeueLTPro-Lt"/>
      <w:color w:val="000000"/>
      <w:lang w:eastAsia="de-DE"/>
    </w:rPr>
  </w:style>
  <w:style w:type="paragraph" w:customStyle="1" w:styleId="BetreffBold">
    <w:name w:val="Betreff Bold"/>
    <w:basedOn w:val="Standard"/>
    <w:qFormat/>
    <w:rPr>
      <w:b/>
    </w:rPr>
  </w:style>
  <w:style w:type="paragraph" w:styleId="Textkrper-Zeileneinzug">
    <w:name w:val="Body Text Indent"/>
    <w:basedOn w:val="Standard"/>
    <w:semiHidden/>
    <w:pPr>
      <w:widowControl w:val="0"/>
      <w:ind w:left="1418" w:hanging="1276"/>
    </w:pPr>
    <w:rPr>
      <w:rFonts w:cs="Arial"/>
      <w:sz w:val="18"/>
    </w:r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0613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35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Struve &amp; Partner</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dc:creator>
  <cp:lastModifiedBy>user</cp:lastModifiedBy>
  <cp:revision>2</cp:revision>
  <cp:lastPrinted>2010-01-15T12:11:00Z</cp:lastPrinted>
  <dcterms:created xsi:type="dcterms:W3CDTF">2020-09-25T13:38:00Z</dcterms:created>
  <dcterms:modified xsi:type="dcterms:W3CDTF">2020-09-25T13:38:00Z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Struve &amp; Partner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